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0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DE74" w14:textId="294AC223" w:rsidR="00FA6982" w:rsidRPr="00AF650D" w:rsidRDefault="00FA6982" w:rsidP="009D231A">
      <w:pPr>
        <w:spacing w:line="360" w:lineRule="auto"/>
        <w:rPr>
          <w:rFonts w:ascii="Helvetica Neue" w:hAnsi="Helvetica Neue" w:cstheme="minorHAnsi"/>
          <w:color w:val="000000" w:themeColor="text1"/>
          <w:lang w:val="sv-SE"/>
        </w:rPr>
      </w:pPr>
    </w:p>
    <w:tbl>
      <w:tblPr>
        <w:tblStyle w:val="TableGrid"/>
        <w:tblW w:w="9072" w:type="dxa"/>
        <w:tblLook w:val="04A0" w:firstRow="1" w:lastRow="0" w:firstColumn="1" w:lastColumn="0" w:noHBand="0" w:noVBand="1"/>
      </w:tblPr>
      <w:tblGrid>
        <w:gridCol w:w="2977"/>
        <w:gridCol w:w="6095"/>
      </w:tblGrid>
      <w:tr w:rsidR="00FA6982" w:rsidRPr="00AF650D" w14:paraId="71222253" w14:textId="77777777" w:rsidTr="009D231A">
        <w:tc>
          <w:tcPr>
            <w:tcW w:w="2977" w:type="dxa"/>
            <w:tcBorders>
              <w:top w:val="nil"/>
              <w:left w:val="nil"/>
              <w:bottom w:val="nil"/>
              <w:right w:val="nil"/>
            </w:tcBorders>
          </w:tcPr>
          <w:p w14:paraId="79AE3A5F" w14:textId="46495E79" w:rsidR="00FA6982" w:rsidRPr="00AF650D" w:rsidRDefault="00FA6982" w:rsidP="009D231A">
            <w:pPr>
              <w:spacing w:line="360" w:lineRule="auto"/>
              <w:rPr>
                <w:rFonts w:ascii="Helvetica Neue" w:hAnsi="Helvetica Neue" w:cstheme="minorHAnsi"/>
                <w:color w:val="000000" w:themeColor="text1"/>
                <w:lang w:val="sv-SE"/>
              </w:rPr>
            </w:pPr>
            <w:r w:rsidRPr="00AF650D">
              <w:rPr>
                <w:rFonts w:ascii="Helvetica Neue" w:hAnsi="Helvetica Neue" w:cstheme="minorHAnsi"/>
                <w:color w:val="000000" w:themeColor="text1"/>
                <w:lang w:val="sv-SE"/>
              </w:rPr>
              <w:t/>
              <w:pict>
                <v:shape type="#_x0000_t75" style="width:120.08253094911px;height:180px" stroked="f">
                  <v:imagedata r:id="rId10" o:title=""/>
                </v:shape>
              </w:pict>
              <w:t/>
            </w:r>
          </w:p>
        </w:tc>
        <w:tc>
          <w:tcPr>
            <w:tcW w:w="6095" w:type="dxa"/>
            <w:tcBorders>
              <w:top w:val="nil"/>
              <w:left w:val="nil"/>
              <w:bottom w:val="nil"/>
              <w:right w:val="nil"/>
            </w:tcBorders>
          </w:tcPr>
          <w:p w14:paraId="53641678" w14:textId="653400F6" w:rsidR="00B60538" w:rsidRPr="00292245" w:rsidRDefault="00FA6982" w:rsidP="00681F89">
            <w:pPr>
              <w:rPr>
                <w:rFonts w:ascii="Noe Display Bold" w:hAnsi="Noe Display Bold" w:cstheme="minorHAnsi"/>
                <w:color w:val="000000" w:themeColor="text1"/>
                <w:sz w:val="44"/>
                <w:szCs w:val="44"/>
                <w:lang w:val="sv-SE"/>
              </w:rPr>
            </w:pPr>
            <w:r w:rsidRPr="00292245">
              <w:rPr>
                <w:rFonts w:ascii="Noe Display Bold" w:hAnsi="Noe Display Bold" w:cstheme="minorHAnsi"/>
                <w:color w:val="000000" w:themeColor="text1"/>
                <w:sz w:val="44"/>
                <w:szCs w:val="44"/>
                <w:lang w:val="sv-SE"/>
              </w:rPr>
              <w:t>David Aversten</w:t>
            </w:r>
          </w:p>
          <w:p w14:paraId="5C90E0B9" w14:textId="6199325B" w:rsidR="00B60538" w:rsidRPr="00292245" w:rsidRDefault="00B60538" w:rsidP="00681F89">
            <w:pPr>
              <w:rPr>
                <w:rFonts w:ascii="Calibri" w:hAnsi="Calibri" w:cs="Calibri"/>
                <w:color w:val="000000" w:themeColor="text1"/>
                <w:sz w:val="22"/>
                <w:szCs w:val="22"/>
                <w:lang w:val="sv-SE"/>
              </w:rPr>
            </w:pPr>
            <w:r w:rsidRPr="00292245">
              <w:rPr>
                <w:rFonts w:ascii="Calibri" w:hAnsi="Calibri" w:cs="Calibri"/>
                <w:color w:val="000000" w:themeColor="text1"/>
                <w:sz w:val="22"/>
                <w:szCs w:val="22"/>
                <w:lang w:val="sv-SE"/>
              </w:rPr>
              <w:t>Stockholm</w:t>
            </w:r>
            <w:r w:rsidRPr="00292245">
              <w:rPr>
                <w:rFonts w:ascii="Calibri" w:hAnsi="Calibri" w:cs="Calibri"/>
                <w:color w:val="000000" w:themeColor="text1"/>
                <w:sz w:val="22"/>
                <w:szCs w:val="22"/>
              </w:rPr>
              <w:t xml:space="preserve"> | </w:t>
            </w:r>
            <w:r w:rsidRPr="00292245">
              <w:rPr>
                <w:rFonts w:ascii="Calibri" w:hAnsi="Calibri" w:cs="Calibri"/>
                <w:color w:val="000000" w:themeColor="text1"/>
                <w:sz w:val="22"/>
                <w:szCs w:val="22"/>
                <w:lang w:val="sv-SE"/>
              </w:rPr>
              <w:t>Partner / Advokat</w:t>
            </w:r>
          </w:p>
          <w:p w14:paraId="30B79234" w14:textId="59A3C07F" w:rsidR="00681F89" w:rsidRDefault="00681F89" w:rsidP="00681F89">
            <w:pPr>
              <w:rPr>
                <w:rFonts w:ascii="Calibri" w:hAnsi="Calibri" w:cs="Calibri"/>
                <w:b/>
                <w:color w:val="000000" w:themeColor="text1"/>
                <w:sz w:val="22"/>
                <w:szCs w:val="22"/>
              </w:rPr>
            </w:pPr>
          </w:p>
          <w:p w14:paraId="7A1CB215" w14:textId="77777777" w:rsidR="00644BA9" w:rsidRPr="00292245" w:rsidRDefault="00644BA9" w:rsidP="00681F89">
            <w:pPr>
              <w:rPr>
                <w:rFonts w:ascii="Calibri" w:hAnsi="Calibri" w:cs="Calibri"/>
                <w:b/>
                <w:color w:val="000000" w:themeColor="text1"/>
                <w:sz w:val="22"/>
                <w:szCs w:val="22"/>
              </w:rPr>
            </w:pPr>
          </w:p>
          <w:p w14:paraId="41310B5E" w14:textId="68FD048A" w:rsidR="00B60538" w:rsidRPr="00292245" w:rsidRDefault="00B60538" w:rsidP="00681F89">
            <w:pPr>
              <w:rPr>
                <w:rFonts w:ascii="Calibri" w:hAnsi="Calibri" w:cs="Calibri"/>
                <w:color w:val="000000" w:themeColor="text1"/>
                <w:sz w:val="22"/>
                <w:szCs w:val="22"/>
                <w:lang w:val="sv-SE"/>
              </w:rPr>
            </w:pPr>
            <w:r w:rsidRPr="00292245">
              <w:rPr>
                <w:rFonts w:ascii="Calibri" w:hAnsi="Calibri" w:cs="Calibri"/>
                <w:b/>
                <w:color w:val="000000" w:themeColor="text1"/>
                <w:sz w:val="22"/>
                <w:szCs w:val="22"/>
              </w:rPr>
              <w:t>Mobiltelefon:</w:t>
            </w:r>
            <w:r w:rsidRPr="00292245">
              <w:rPr>
                <w:rFonts w:ascii="Calibri" w:hAnsi="Calibri" w:cs="Calibri"/>
                <w:color w:val="000000" w:themeColor="text1"/>
                <w:sz w:val="22"/>
                <w:szCs w:val="22"/>
              </w:rPr>
              <w:t> </w:t>
            </w:r>
            <w:r w:rsidRPr="00292245">
              <w:rPr>
                <w:rFonts w:ascii="Calibri" w:hAnsi="Calibri" w:cs="Calibri"/>
                <w:color w:val="000000" w:themeColor="text1"/>
                <w:sz w:val="22"/>
                <w:szCs w:val="22"/>
                <w:lang w:val="sv-SE"/>
              </w:rPr>
              <w:t>+46 709 25 25 19</w:t>
            </w:r>
          </w:p>
          <w:p w14:paraId="118DF8A8" w14:textId="62351124" w:rsidR="00B60538" w:rsidRPr="00292245" w:rsidRDefault="00B60538" w:rsidP="00681F89">
            <w:pPr>
              <w:rPr>
                <w:rFonts w:ascii="Calibri" w:hAnsi="Calibri" w:cs="Calibri"/>
                <w:color w:val="000000" w:themeColor="text1"/>
                <w:sz w:val="22"/>
                <w:szCs w:val="22"/>
              </w:rPr>
            </w:pPr>
            <w:r w:rsidRPr="00292245">
              <w:rPr>
                <w:rFonts w:ascii="Calibri" w:hAnsi="Calibri" w:cs="Calibri"/>
                <w:b/>
                <w:color w:val="000000" w:themeColor="text1"/>
                <w:sz w:val="22"/>
                <w:szCs w:val="22"/>
              </w:rPr>
              <w:t>E-post:</w:t>
            </w:r>
            <w:r w:rsidRPr="00292245">
              <w:rPr>
                <w:rFonts w:ascii="Calibri" w:hAnsi="Calibri" w:cs="Calibri"/>
                <w:color w:val="000000" w:themeColor="text1"/>
                <w:sz w:val="22"/>
                <w:szCs w:val="22"/>
              </w:rPr>
              <w:t> </w:t>
            </w:r>
            <w:r w:rsidRPr="002641BE">
              <w:rPr>
                <w:rFonts w:ascii="Calibri" w:hAnsi="Calibri" w:cs="Calibri"/>
                <w:color w:val="000000" w:themeColor="text1"/>
                <w:sz w:val="22"/>
                <w:szCs w:val="22"/>
                <w:lang w:val="en-US"/>
              </w:rPr>
              <w:t>david.aversten@delphi.se</w:t>
            </w:r>
            <w:r w:rsidRPr="00292245">
              <w:rPr>
                <w:rFonts w:ascii="Calibri" w:hAnsi="Calibri" w:cs="Calibri"/>
                <w:color w:val="000000" w:themeColor="text1"/>
                <w:sz w:val="22"/>
                <w:szCs w:val="22"/>
              </w:rPr>
              <w:t xml:space="preserve"> </w:t>
            </w:r>
          </w:p>
          <w:p w14:paraId="2C025921" w14:textId="13EF7A50" w:rsidR="00B60538" w:rsidRPr="002641BE" w:rsidRDefault="00B60538" w:rsidP="00681F89">
            <w:pPr>
              <w:rPr>
                <w:rFonts w:ascii="Helvetica Neue" w:hAnsi="Helvetica Neue" w:cstheme="minorHAnsi"/>
                <w:color w:val="000000" w:themeColor="text1"/>
                <w:lang w:val="en-US"/>
              </w:rPr>
            </w:pPr>
            <w:r w:rsidRPr="00292245">
              <w:rPr>
                <w:rFonts w:ascii="Calibri" w:hAnsi="Calibri" w:cs="Calibri"/>
                <w:b/>
                <w:color w:val="000000" w:themeColor="text1"/>
                <w:sz w:val="22"/>
                <w:szCs w:val="22"/>
              </w:rPr>
              <w:t>Språk:</w:t>
            </w:r>
            <w:r w:rsidRPr="00292245">
              <w:rPr>
                <w:rFonts w:ascii="Calibri" w:hAnsi="Calibri" w:cs="Calibri"/>
                <w:color w:val="000000" w:themeColor="text1"/>
                <w:sz w:val="22"/>
                <w:szCs w:val="22"/>
              </w:rPr>
              <w:t> </w:t>
            </w:r>
            <w:r w:rsidRPr="002641BE">
              <w:rPr>
                <w:rFonts w:ascii="Calibri" w:hAnsi="Calibri" w:cs="Calibri"/>
                <w:color w:val="000000" w:themeColor="text1"/>
                <w:sz w:val="22"/>
                <w:szCs w:val="22"/>
                <w:lang w:val="en-US"/>
              </w:rPr>
              <w:t>engelska, franska</w:t>
            </w:r>
          </w:p>
        </w:tc>
      </w:tr>
    </w:tbl>
    <w:p w14:paraId="1D09E947" w14:textId="20471B5E" w:rsidR="00681F89" w:rsidRPr="00644BA9" w:rsidRDefault="00681F89" w:rsidP="00681F89">
      <w:pPr>
        <w:rPr>
          <w:rFonts w:ascii="Calibri" w:hAnsi="Calibri" w:cs="Calibri"/>
          <w:color w:val="000000" w:themeColor="text1"/>
          <w:sz w:val="22"/>
          <w:szCs w:val="22"/>
        </w:rPr>
      </w:pPr>
    </w:p>
    <w:p w14:paraId="62F19F11" w14:textId="77777777" w:rsidR="00681F89" w:rsidRPr="002641BE" w:rsidRDefault="00681F89" w:rsidP="00681F89">
      <w:pPr>
        <w:rPr>
          <w:rFonts w:ascii="Calibri" w:hAnsi="Calibri" w:cs="Calibri"/>
          <w:color w:val="000000" w:themeColor="text1"/>
          <w:sz w:val="22"/>
          <w:szCs w:val="22"/>
          <w:lang w:val="en-US"/>
        </w:rPr>
      </w:pPr>
    </w:p>
    <w:p w14:paraId="536BAD78" w14:textId="77777777" w:rsidR="00681F89" w:rsidRPr="002641BE" w:rsidRDefault="00681F89" w:rsidP="00681F89">
      <w:pPr>
        <w:pBdr>
          <w:top w:val="single" w:sz="4" w:space="1" w:color="auto"/>
        </w:pBdr>
        <w:rPr>
          <w:rFonts w:ascii="Calibri" w:hAnsi="Calibri" w:cs="Calibri"/>
          <w:b/>
          <w:bCs/>
          <w:color w:val="000000" w:themeColor="text1"/>
          <w:sz w:val="22"/>
          <w:szCs w:val="22"/>
          <w:lang w:val="en-US"/>
        </w:rPr>
      </w:pPr>
    </w:p>
    <w:p w14:paraId="3208BC5C" w14:textId="3C423803" w:rsidR="00871A7C" w:rsidRPr="00292245" w:rsidRDefault="00871A7C" w:rsidP="00681F89">
      <w:pPr>
        <w:pBdr>
          <w:top w:val="single" w:sz="4" w:space="1" w:color="auto"/>
        </w:pBdr>
        <w:rPr>
          <w:rFonts w:ascii="Calibri" w:hAnsi="Calibri" w:cs="Calibri"/>
          <w:b/>
          <w:bCs/>
          <w:color w:val="000000" w:themeColor="text1"/>
          <w:sz w:val="22"/>
          <w:szCs w:val="22"/>
          <w:lang w:val="sv-SE"/>
        </w:rPr>
      </w:pPr>
      <w:r w:rsidRPr="00292245">
        <w:rPr>
          <w:rFonts w:ascii="Calibri" w:hAnsi="Calibri" w:cs="Calibri"/>
          <w:b/>
          <w:bCs/>
          <w:color w:val="000000" w:themeColor="text1"/>
          <w:sz w:val="22"/>
          <w:szCs w:val="22"/>
          <w:lang w:val="sv-SE"/>
        </w:rPr>
        <w:t>Om</w:t>
      </w:r>
    </w:p>
    <w:p w14:paraId="15BE9391" w14:textId="1D939E5A" w:rsidR="00E35EED" w:rsidRPr="00292245" w:rsidRDefault="00871A7C" w:rsidP="00681F89">
      <w:pPr>
        <w:rPr>
          <w:rFonts w:ascii="Calibri" w:hAnsi="Calibri" w:cs="Calibri"/>
          <w:color w:val="000000" w:themeColor="text1"/>
          <w:sz w:val="22"/>
          <w:szCs w:val="22"/>
          <w:lang w:val="sv-SE"/>
        </w:rPr>
      </w:pPr>
      <w:r>
        <w:rPr/>
        <w:t xml:space="preserve"/>
      </w:r>
      <w:r>
        <w:rPr>
          <w:rFonts w:ascii="Calibri" w:hAnsi="Calibri" w:eastAsia="Calibri" w:cs="Calibri"/>
          <w:color w:val="#000000"/>
          <w:sz w:val="22"/>
          <w:szCs w:val="22"/>
        </w:rPr>
        <w:t xml:space="preserve">David Aversten är specialiserad på företagsförvärv och private equity-transaktioner. David företräder löpande såväl svenska som internationella private equity-fonder och deras portföljbolag, som svenska och internationella industriella klienter. David har omfattande erfarenhet av gränsöverskridande transaktioner inom ett stort spektrum av branscher, i synnerhet telekom-, media- och teknologibranschen.</w:t>
      </w:r>
      <w:br/>
      <w:r>
        <w:rPr>
          <w:rFonts w:ascii="Calibri" w:hAnsi="Calibri" w:eastAsia="Calibri" w:cs="Calibri"/>
          <w:color w:val="#000000"/>
          <w:sz w:val="22"/>
          <w:szCs w:val="22"/>
        </w:rPr>
        <w:t xml:space="preserve"> </w:t>
      </w:r>
      <w:br/>
      <w:r>
        <w:rPr>
          <w:rFonts w:ascii="Calibri" w:hAnsi="Calibri" w:eastAsia="Calibri" w:cs="Calibri"/>
          <w:color w:val="#000000"/>
          <w:sz w:val="22"/>
          <w:szCs w:val="22"/>
        </w:rPr>
        <w:t xml:space="preserve">Intressanta uppdrag:</w:t>
      </w:r>
      <w:br/>
      <w:r>
        <w:rPr>
          <w:rFonts w:ascii="Calibri" w:hAnsi="Calibri" w:eastAsia="Calibri" w:cs="Calibri"/>
          <w:color w:val="#000000"/>
          <w:sz w:val="22"/>
          <w:szCs w:val="22"/>
        </w:rPr>
        <w:t xml:space="preserve">  </w:t>
      </w:r>
      <w:br/>
      <w:r>
        <w:rPr>
          <w:rFonts w:ascii="Calibri" w:hAnsi="Calibri" w:eastAsia="Calibri" w:cs="Calibri"/>
          <w:color w:val="#000000"/>
          <w:sz w:val="22"/>
          <w:szCs w:val="22"/>
        </w:rPr>
        <w:t xml:space="preserve">• Veolia Nordics avyttring av Veolia Recycling och Industrial Cleaning </w:t>
      </w:r>
      <w:br/>
      <w:r>
        <w:rPr>
          <w:rFonts w:ascii="Calibri" w:hAnsi="Calibri" w:eastAsia="Calibri" w:cs="Calibri"/>
          <w:color w:val="#000000"/>
          <w:sz w:val="22"/>
          <w:szCs w:val="22"/>
        </w:rPr>
        <w:t xml:space="preserve">• Veolia Nordics avyttring av Technical Management </w:t>
      </w:r>
      <w:br/>
      <w:r>
        <w:rPr>
          <w:rFonts w:ascii="Calibri" w:hAnsi="Calibri" w:eastAsia="Calibri" w:cs="Calibri"/>
          <w:color w:val="#000000"/>
          <w:sz w:val="22"/>
          <w:szCs w:val="22"/>
        </w:rPr>
        <w:t xml:space="preserve">• Veolia Nordics avyttring av Utility Solutions </w:t>
      </w:r>
      <w:br/>
      <w:r>
        <w:rPr>
          <w:rFonts w:ascii="Calibri" w:hAnsi="Calibri" w:eastAsia="Calibri" w:cs="Calibri"/>
          <w:color w:val="#000000"/>
          <w:sz w:val="22"/>
          <w:szCs w:val="22"/>
        </w:rPr>
        <w:t xml:space="preserve">• Veolia Water Technologies avyttring av VA-Ingenjörerna </w:t>
      </w:r>
      <w:br/>
      <w:r>
        <w:rPr>
          <w:rFonts w:ascii="Calibri" w:hAnsi="Calibri" w:eastAsia="Calibri" w:cs="Calibri"/>
          <w:color w:val="#000000"/>
          <w:sz w:val="22"/>
          <w:szCs w:val="22"/>
        </w:rPr>
        <w:t xml:space="preserve">• Verdanes portföljbolag Desenios förvärv av Poster Store </w:t>
      </w:r>
      <w:br/>
      <w:r>
        <w:rPr>
          <w:rFonts w:ascii="Calibri" w:hAnsi="Calibri" w:eastAsia="Calibri" w:cs="Calibri"/>
          <w:color w:val="#000000"/>
          <w:sz w:val="22"/>
          <w:szCs w:val="22"/>
        </w:rPr>
        <w:t xml:space="preserve">• EQT:s portföljbolag Candidator DGC:s förvärv av iSMoTec </w:t>
      </w:r>
      <w:br/>
      <w:r>
        <w:rPr>
          <w:rFonts w:ascii="Calibri" w:hAnsi="Calibri" w:eastAsia="Calibri" w:cs="Calibri"/>
          <w:color w:val="#000000"/>
          <w:sz w:val="22"/>
          <w:szCs w:val="22"/>
        </w:rPr>
        <w:t xml:space="preserve">• Verdane Capitals försäljning och co-investment i EasyPark </w:t>
      </w:r>
      <w:br/>
      <w:r>
        <w:rPr>
          <w:rFonts w:ascii="Calibri" w:hAnsi="Calibri" w:eastAsia="Calibri" w:cs="Calibri"/>
          <w:color w:val="#000000"/>
          <w:sz w:val="22"/>
          <w:szCs w:val="22"/>
        </w:rPr>
        <w:t xml:space="preserve">• Försäljning av Digpro AB till Litornia </w:t>
      </w:r>
      <w:br/>
      <w:r>
        <w:rPr>
          <w:rFonts w:ascii="Calibri" w:hAnsi="Calibri" w:eastAsia="Calibri" w:cs="Calibri"/>
          <w:color w:val="#000000"/>
          <w:sz w:val="22"/>
          <w:szCs w:val="22"/>
        </w:rPr>
        <w:t xml:space="preserve">• The Carlyle Groups försäljning av BTI Studios till Altor Equity Partners </w:t>
      </w:r>
      <w:br/>
      <w:r>
        <w:rPr>
          <w:rFonts w:ascii="Calibri" w:hAnsi="Calibri" w:eastAsia="Calibri" w:cs="Calibri"/>
          <w:color w:val="#000000"/>
          <w:sz w:val="22"/>
          <w:szCs w:val="22"/>
        </w:rPr>
        <w:t xml:space="preserve">• Veolia Nordics förvärv av Hans Andersson Recycling Group </w:t>
      </w:r>
      <w:br/>
      <w:r>
        <w:rPr>
          <w:rFonts w:ascii="Calibri" w:hAnsi="Calibri" w:eastAsia="Calibri" w:cs="Calibri"/>
          <w:color w:val="#000000"/>
          <w:sz w:val="22"/>
          <w:szCs w:val="22"/>
        </w:rPr>
        <w:t xml:space="preserve">• Veolia Swedens förvärv av CRVR ETT AB (nu Veolia Industrial Services Sweden) från Corvara </w:t>
      </w:r>
      <w:br/>
      <w:r>
        <w:rPr>
          <w:rFonts w:ascii="Calibri" w:hAnsi="Calibri" w:eastAsia="Calibri" w:cs="Calibri"/>
          <w:color w:val="#000000"/>
          <w:sz w:val="22"/>
          <w:szCs w:val="22"/>
        </w:rPr>
        <w:t xml:space="preserve">• EQT Ventures investeringar i Small Giant Games, Peltarion, Watty, Unomaly, Wolt, Verto och Min Doktor </w:t>
      </w:r>
      <w:br/>
      <w:r>
        <w:rPr>
          <w:rFonts w:ascii="Calibri" w:hAnsi="Calibri" w:eastAsia="Calibri" w:cs="Calibri"/>
          <w:color w:val="#000000"/>
          <w:sz w:val="22"/>
          <w:szCs w:val="22"/>
        </w:rPr>
        <w:t xml:space="preserve">• Com Hems förvärv av Boxer  </w:t>
      </w:r>
    </w:p>
    <w:p w14:paraId="4BB1E18D" w14:textId="77777777" w:rsidR="00E35EED" w:rsidRPr="00292245" w:rsidRDefault="00E35EED" w:rsidP="00681F89">
      <w:pPr>
        <w:rPr>
          <w:rFonts w:ascii="Calibri" w:hAnsi="Calibri" w:cs="Calibri"/>
          <w:color w:val="000000" w:themeColor="text1"/>
          <w:sz w:val="22"/>
          <w:szCs w:val="22"/>
          <w:lang w:val="sv-SE"/>
        </w:rPr>
      </w:pPr>
    </w:p>
    <w:p w14:paraId="788AFD7B" w14:textId="55E38DAA" w:rsidR="00E85050" w:rsidRPr="00292245" w:rsidRDefault="00E85050"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Kompetensområden</w:t>
      </w:r>
    </w:p>
    <w:p w14:paraId="1E28ACFF" w14:textId="12876558" w:rsidR="00E85050" w:rsidRPr="00292245" w:rsidRDefault="00E85050" w:rsidP="00681F89">
      <w:pPr>
        <w:rPr>
          <w:rFonts w:ascii="Calibri" w:hAnsi="Calibri" w:cs="Calibri"/>
          <w:color w:val="000000" w:themeColor="text1"/>
          <w:sz w:val="22"/>
          <w:szCs w:val="22"/>
        </w:rPr>
      </w:pPr>
      <w:r w:rsidRPr="00292245">
        <w:rPr>
          <w:rFonts w:ascii="Calibri" w:hAnsi="Calibri" w:cs="Calibri"/>
          <w:color w:val="000000" w:themeColor="text1"/>
          <w:sz w:val="22"/>
          <w:szCs w:val="22"/>
        </w:rPr>
        <w:t>Företagsöverlåtelser, Private equity / Venture capital</w:t>
      </w:r>
    </w:p>
    <w:p w14:paraId="6F47A2D4" w14:textId="2A3E9242" w:rsidR="005E3AC4" w:rsidRPr="00292245" w:rsidRDefault="005E3AC4" w:rsidP="00681F89">
      <w:pPr>
        <w:rPr>
          <w:rFonts w:ascii="Calibri" w:hAnsi="Calibri" w:cs="Calibri"/>
          <w:color w:val="000000" w:themeColor="text1"/>
          <w:sz w:val="22"/>
          <w:szCs w:val="22"/>
        </w:rPr>
      </w:pP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Utbildning</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Jur.kand., Stockholms universitet 1998</w:t>
      </w:r>
      <w:br/>
      <w:r>
        <w:rPr>
          <w:rFonts w:ascii="Calibri" w:hAnsi="Calibri" w:eastAsia="Calibri" w:cs="Calibri"/>
          <w:color w:val="#000000"/>
          <w:sz w:val="22"/>
          <w:szCs w:val="22"/>
        </w:rPr>
        <w:t xml:space="preserve">Université de droit, d´economies d´Aix-Marseille, France 1996–1997</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Erfarenhet</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Partner, Advokatfirman Delphi 2007–</w:t>
      </w:r>
      <w:br/>
      <w:r>
        <w:rPr>
          <w:rFonts w:ascii="Calibri" w:hAnsi="Calibri" w:eastAsia="Calibri" w:cs="Calibri"/>
          <w:color w:val="#000000"/>
          <w:sz w:val="22"/>
          <w:szCs w:val="22"/>
        </w:rPr>
        <w:t xml:space="preserve">Advokatfirman Vinge 2000–2007</w:t>
      </w:r>
      <w:br/>
      <w:r>
        <w:rPr>
          <w:rFonts w:ascii="Calibri" w:hAnsi="Calibri" w:eastAsia="Calibri" w:cs="Calibri"/>
          <w:color w:val="#000000"/>
          <w:sz w:val="22"/>
          <w:szCs w:val="22"/>
        </w:rPr>
        <w:t xml:space="preserve">Tingstjänstgöring 1999–2000</w:t>
      </w:r>
      <w:br/>
      <w:r>
        <w:rPr>
          <w:rFonts w:ascii="Calibri" w:hAnsi="Calibri" w:eastAsia="Calibri" w:cs="Calibri"/>
          <w:color w:val="#000000"/>
          <w:sz w:val="22"/>
          <w:szCs w:val="22"/>
        </w:rPr>
        <w:t xml:space="preserve">Advokatfirman Vinge 1998–1999</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Rankingar</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 Recommended, Private Equity, Band 4, Chambers Europe 2024</w:t>
      </w:r>
      <w:br/>
      <w:r>
        <w:rPr>
          <w:rFonts w:ascii="Calibri" w:hAnsi="Calibri" w:eastAsia="Calibri" w:cs="Calibri"/>
          <w:color w:val="#000000"/>
          <w:sz w:val="22"/>
          <w:szCs w:val="22"/>
        </w:rPr>
        <w:t xml:space="preserve">• Recommended, Corporate/M&amp;A, Band 3, Chambers Europe 2024</w:t>
      </w:r>
      <w:br/>
      <w:r>
        <w:rPr>
          <w:rFonts w:ascii="Calibri" w:hAnsi="Calibri" w:eastAsia="Calibri" w:cs="Calibri"/>
          <w:color w:val="#000000"/>
          <w:sz w:val="22"/>
          <w:szCs w:val="22"/>
        </w:rPr>
        <w:t xml:space="preserve">• Recommended, Corporate/M&amp;A, Band 3, Chambers Global 2024</w:t>
      </w:r>
      <w:br/>
      <w:r>
        <w:rPr>
          <w:rFonts w:ascii="Calibri" w:hAnsi="Calibri" w:eastAsia="Calibri" w:cs="Calibri"/>
          <w:color w:val="#000000"/>
          <w:sz w:val="22"/>
          <w:szCs w:val="22"/>
        </w:rPr>
        <w:t xml:space="preserve">• Recommended, Practice area: Foreign Investment Review, M&amp;A and Governance, Who’s Who Legal 2024</w:t>
      </w:r>
      <w:br/>
      <w:r>
        <w:rPr>
          <w:rFonts w:ascii="Calibri" w:hAnsi="Calibri" w:eastAsia="Calibri" w:cs="Calibri"/>
          <w:color w:val="#000000"/>
          <w:sz w:val="22"/>
          <w:szCs w:val="22"/>
        </w:rPr>
        <w:t xml:space="preserve">• Highly regarded, M&amp;A, IFLR 1000, 2023</w:t>
      </w:r>
      <w:br/>
      <w:r>
        <w:rPr>
          <w:rFonts w:ascii="Calibri" w:hAnsi="Calibri" w:eastAsia="Calibri" w:cs="Calibri"/>
          <w:color w:val="#000000"/>
          <w:sz w:val="22"/>
          <w:szCs w:val="22"/>
        </w:rPr>
        <w:t xml:space="preserve">• Recommended, Private Equity, Band 2, Chambers Europe 2023</w:t>
      </w:r>
      <w:br/>
      <w:r>
        <w:rPr>
          <w:rFonts w:ascii="Calibri" w:hAnsi="Calibri" w:eastAsia="Calibri" w:cs="Calibri"/>
          <w:color w:val="#000000"/>
          <w:sz w:val="22"/>
          <w:szCs w:val="22"/>
        </w:rPr>
        <w:t xml:space="preserve">• Recommended, Corporate/M&amp;A, Band 2, Chambers Europe 2023</w:t>
      </w:r>
      <w:br/>
      <w:r>
        <w:rPr>
          <w:rFonts w:ascii="Calibri" w:hAnsi="Calibri" w:eastAsia="Calibri" w:cs="Calibri"/>
          <w:color w:val="#000000"/>
          <w:sz w:val="22"/>
          <w:szCs w:val="22"/>
        </w:rPr>
        <w:t xml:space="preserve">• Recommended, Corporate/M&amp;A, Band 2, Chambers Global 2023</w:t>
      </w:r>
      <w:br/>
      <w:r>
        <w:rPr>
          <w:rFonts w:ascii="Calibri" w:hAnsi="Calibri" w:eastAsia="Calibri" w:cs="Calibri"/>
          <w:color w:val="#000000"/>
          <w:sz w:val="22"/>
          <w:szCs w:val="22"/>
        </w:rPr>
        <w:t xml:space="preserve">• National Leader, M&amp;A and Governance, Who’s Who Legal 2023</w:t>
      </w:r>
      <w:br/>
      <w:r>
        <w:rPr>
          <w:rFonts w:ascii="Calibri" w:hAnsi="Calibri" w:eastAsia="Calibri" w:cs="Calibri"/>
          <w:color w:val="#000000"/>
          <w:sz w:val="22"/>
          <w:szCs w:val="22"/>
        </w:rPr>
        <w:t xml:space="preserve">• Global Leader, Foreign Investment Review, Who’s Who Legal 2022</w:t>
      </w:r>
      <w:br/>
      <w:r>
        <w:rPr>
          <w:rFonts w:ascii="Calibri" w:hAnsi="Calibri" w:eastAsia="Calibri" w:cs="Calibri"/>
          <w:color w:val="#000000"/>
          <w:sz w:val="22"/>
          <w:szCs w:val="22"/>
        </w:rPr>
        <w:t xml:space="preserve">• Highly regarded, M&amp;A, IFLR 1000, 2022</w:t>
      </w:r>
      <w:br/>
      <w:r>
        <w:rPr>
          <w:rFonts w:ascii="Calibri" w:hAnsi="Calibri" w:eastAsia="Calibri" w:cs="Calibri"/>
          <w:color w:val="#000000"/>
          <w:sz w:val="22"/>
          <w:szCs w:val="22"/>
        </w:rPr>
        <w:t xml:space="preserve">• Recommended, Corporate/M&amp;A, Eminent Practitioners, Chambers Europe 2022</w:t>
      </w:r>
      <w:br/>
      <w:r>
        <w:rPr>
          <w:rFonts w:ascii="Calibri" w:hAnsi="Calibri" w:eastAsia="Calibri" w:cs="Calibri"/>
          <w:color w:val="#000000"/>
          <w:sz w:val="22"/>
          <w:szCs w:val="22"/>
        </w:rPr>
        <w:t xml:space="preserve">• Recommended, Private Equity, Eminent Practitioners, Chambers Europe 2022</w:t>
      </w:r>
      <w:br/>
      <w:r>
        <w:rPr>
          <w:rFonts w:ascii="Calibri" w:hAnsi="Calibri" w:eastAsia="Calibri" w:cs="Calibri"/>
          <w:color w:val="#000000"/>
          <w:sz w:val="22"/>
          <w:szCs w:val="22"/>
        </w:rPr>
        <w:t xml:space="preserve">• Recommended, Corporate/M&amp;A, Eminent Practitioners, Chambers Global 2022</w:t>
      </w:r>
      <w:br/>
      <w:r>
        <w:rPr>
          <w:rFonts w:ascii="Calibri" w:hAnsi="Calibri" w:eastAsia="Calibri" w:cs="Calibri"/>
          <w:color w:val="#000000"/>
          <w:sz w:val="22"/>
          <w:szCs w:val="22"/>
        </w:rPr>
        <w:t xml:space="preserve">• Global Leader, Foreign Investment Review, Who’s Who Legal 2021</w:t>
      </w:r>
      <w:br/>
      <w:r>
        <w:rPr>
          <w:rFonts w:ascii="Calibri" w:hAnsi="Calibri" w:eastAsia="Calibri" w:cs="Calibri"/>
          <w:color w:val="#000000"/>
          <w:sz w:val="22"/>
          <w:szCs w:val="22"/>
        </w:rPr>
        <w:t xml:space="preserve">• National Leader, M&amp;A and Governance, Who’s Who Legal 2021</w:t>
      </w:r>
      <w:br/>
      <w:r>
        <w:rPr>
          <w:rFonts w:ascii="Calibri" w:hAnsi="Calibri" w:eastAsia="Calibri" w:cs="Calibri"/>
          <w:color w:val="#000000"/>
          <w:sz w:val="22"/>
          <w:szCs w:val="22"/>
        </w:rPr>
        <w:t xml:space="preserve">• Recommended, Corporate/M&amp;A, Eminent Practitioners, Chambers Global 2021:</w:t>
      </w:r>
      <w:br/>
      <w:r>
        <w:rPr>
          <w:rFonts w:ascii="Calibri" w:hAnsi="Calibri" w:eastAsia="Calibri" w:cs="Calibri"/>
          <w:color w:val="#000000"/>
          <w:sz w:val="22"/>
          <w:szCs w:val="22"/>
        </w:rPr>
        <w:t xml:space="preserve">• “very good at complex situations that don’t arise normally.”</w:t>
      </w:r>
      <w:br/>
      <w:r>
        <w:rPr>
          <w:rFonts w:ascii="Calibri" w:hAnsi="Calibri" w:eastAsia="Calibri" w:cs="Calibri"/>
          <w:color w:val="#000000"/>
          <w:sz w:val="22"/>
          <w:szCs w:val="22"/>
        </w:rPr>
        <w:t xml:space="preserve">• Recommended, Corporate/M&amp;A, Eminent Practitioners, Chambers Europe 2021</w:t>
      </w:r>
      <w:br/>
      <w:r>
        <w:rPr>
          <w:rFonts w:ascii="Calibri" w:hAnsi="Calibri" w:eastAsia="Calibri" w:cs="Calibri"/>
          <w:color w:val="#000000"/>
          <w:sz w:val="22"/>
          <w:szCs w:val="22"/>
        </w:rPr>
        <w:t xml:space="preserve">• Recommended, Private Equity, Eminent Practitioners, Chambers Europe 2021</w:t>
      </w:r>
      <w:br/>
      <w:r>
        <w:rPr>
          <w:rFonts w:ascii="Calibri" w:hAnsi="Calibri" w:eastAsia="Calibri" w:cs="Calibri"/>
          <w:color w:val="#000000"/>
          <w:sz w:val="22"/>
          <w:szCs w:val="22"/>
        </w:rPr>
        <w:t xml:space="preserve">• Highly regarded, M&amp;A, IFLR 1000, 2021</w:t>
      </w:r>
      <w:br/>
      <w:r>
        <w:rPr>
          <w:rFonts w:ascii="Calibri" w:hAnsi="Calibri" w:eastAsia="Calibri" w:cs="Calibri"/>
          <w:color w:val="#000000"/>
          <w:sz w:val="22"/>
          <w:szCs w:val="22"/>
        </w:rPr>
        <w:t xml:space="preserve">• Global Leader, Practice Area: M&amp;A and Governance, Category: Foreign Investment Review, Who’s Who Legal 2020</w:t>
      </w:r>
      <w:br/>
      <w:r>
        <w:rPr>
          <w:rFonts w:ascii="Calibri" w:hAnsi="Calibri" w:eastAsia="Calibri" w:cs="Calibri"/>
          <w:color w:val="#000000"/>
          <w:sz w:val="22"/>
          <w:szCs w:val="22"/>
        </w:rPr>
        <w:t xml:space="preserve">• Recommended, Commercial, Corporate and M&amp;A, tier 3, Legal 500, 2020</w:t>
      </w:r>
      <w:br/>
      <w:r>
        <w:rPr>
          <w:rFonts w:ascii="Calibri" w:hAnsi="Calibri" w:eastAsia="Calibri" w:cs="Calibri"/>
          <w:color w:val="#000000"/>
          <w:sz w:val="22"/>
          <w:szCs w:val="22"/>
        </w:rPr>
        <w:t xml:space="preserve">• Recommended, Corporate/M&amp;A, Eminent Practitioners, Chambers Europe 2020</w:t>
      </w:r>
      <w:br/>
      <w:r>
        <w:rPr>
          <w:rFonts w:ascii="Calibri" w:hAnsi="Calibri" w:eastAsia="Calibri" w:cs="Calibri"/>
          <w:color w:val="#000000"/>
          <w:sz w:val="22"/>
          <w:szCs w:val="22"/>
        </w:rPr>
        <w:t xml:space="preserve">• “According to clients, David Aversten is ‘pragmatic and efficient as well as client-oriented.’ His practice covers M&amp;A and private equity mandates, including venture capital deals.”</w:t>
      </w:r>
      <w:br/>
      <w:r>
        <w:rPr>
          <w:rFonts w:ascii="Calibri" w:hAnsi="Calibri" w:eastAsia="Calibri" w:cs="Calibri"/>
          <w:color w:val="#000000"/>
          <w:sz w:val="22"/>
          <w:szCs w:val="22"/>
        </w:rPr>
        <w:t xml:space="preserve">• Recommended, Private Equity, Eminent Practitioners, Chambers Europe 2020</w:t>
      </w:r>
      <w:br/>
      <w:r>
        <w:rPr>
          <w:rFonts w:ascii="Calibri" w:hAnsi="Calibri" w:eastAsia="Calibri" w:cs="Calibri"/>
          <w:color w:val="#000000"/>
          <w:sz w:val="22"/>
          <w:szCs w:val="22"/>
        </w:rPr>
        <w:t xml:space="preserve">• Recommended – National Leader, Practice Area: M&amp;A &amp; Governance 2020, Who’s Who Legal 2020</w:t>
      </w:r>
      <w:br/>
      <w:r>
        <w:rPr>
          <w:rFonts w:ascii="Calibri" w:hAnsi="Calibri" w:eastAsia="Calibri" w:cs="Calibri"/>
          <w:color w:val="#000000"/>
          <w:sz w:val="22"/>
          <w:szCs w:val="22"/>
        </w:rPr>
        <w:t xml:space="preserve">• Recommended, Corporate/M&amp;A, Eminent Practitioners, Chambers Global 2020</w:t>
      </w:r>
      <w:br/>
      <w:r>
        <w:rPr>
          <w:rFonts w:ascii="Calibri" w:hAnsi="Calibri" w:eastAsia="Calibri" w:cs="Calibri"/>
          <w:color w:val="#000000"/>
          <w:sz w:val="22"/>
          <w:szCs w:val="22"/>
        </w:rPr>
        <w:t xml:space="preserve">• Highly regarded, M&amp;A, IFLR 1000, 2020</w:t>
      </w:r>
      <w:br/>
      <w:r>
        <w:rPr>
          <w:rFonts w:ascii="Calibri" w:hAnsi="Calibri" w:eastAsia="Calibri" w:cs="Calibri"/>
          <w:color w:val="#000000"/>
          <w:sz w:val="22"/>
          <w:szCs w:val="22"/>
        </w:rPr>
        <w:t xml:space="preserve">• “Very competent and experienced. Came with highly relevant thoughts and feedback. Very accessible.”</w:t>
      </w:r>
      <w:br/>
      <w:r>
        <w:rPr>
          <w:rFonts w:ascii="Calibri" w:hAnsi="Calibri" w:eastAsia="Calibri" w:cs="Calibri"/>
          <w:color w:val="#000000"/>
          <w:sz w:val="22"/>
          <w:szCs w:val="22"/>
        </w:rPr>
        <w:t xml:space="preserve">• Highly regarded, Private Equity, IFLR 1000, 2020</w:t>
      </w:r>
      <w:br/>
      <w:r>
        <w:rPr>
          <w:rFonts w:ascii="Calibri" w:hAnsi="Calibri" w:eastAsia="Calibri" w:cs="Calibri"/>
          <w:color w:val="#000000"/>
          <w:sz w:val="22"/>
          <w:szCs w:val="22"/>
        </w:rPr>
        <w:t xml:space="preserve">• Global Leader, Practice Area: M&amp;A and Governance, Category: Foreign Investment Review, Who’s Who Legal 2019</w:t>
      </w:r>
      <w:br/>
      <w:r>
        <w:rPr>
          <w:rFonts w:ascii="Calibri" w:hAnsi="Calibri" w:eastAsia="Calibri" w:cs="Calibri"/>
          <w:color w:val="#000000"/>
          <w:sz w:val="22"/>
          <w:szCs w:val="22"/>
        </w:rPr>
        <w:t xml:space="preserve">• Highly regarded, M&amp;A, IFLR 1000, 2019</w:t>
      </w:r>
      <w:br/>
      <w:r>
        <w:rPr>
          <w:rFonts w:ascii="Calibri" w:hAnsi="Calibri" w:eastAsia="Calibri" w:cs="Calibri"/>
          <w:color w:val="#000000"/>
          <w:sz w:val="22"/>
          <w:szCs w:val="22"/>
        </w:rPr>
        <w:t xml:space="preserve">• Highly regarded, Private Equity, IFLR 1000, 2019</w:t>
      </w:r>
      <w:br/>
      <w:r>
        <w:rPr>
          <w:rFonts w:ascii="Calibri" w:hAnsi="Calibri" w:eastAsia="Calibri" w:cs="Calibri"/>
          <w:color w:val="#000000"/>
          <w:sz w:val="22"/>
          <w:szCs w:val="22"/>
        </w:rPr>
        <w:t xml:space="preserve">• Recommended, Commercial, Corporate and M&amp;A, tier 3, Legal 500, 2019</w:t>
      </w:r>
      <w:br/>
      <w:r>
        <w:rPr>
          <w:rFonts w:ascii="Calibri" w:hAnsi="Calibri" w:eastAsia="Calibri" w:cs="Calibri"/>
          <w:color w:val="#000000"/>
          <w:sz w:val="22"/>
          <w:szCs w:val="22"/>
        </w:rPr>
        <w:t xml:space="preserve">• Recommended, Corporate/M&amp;A, band 2, Chambers Europe 2019:</w:t>
      </w:r>
      <w:br/>
      <w:r>
        <w:rPr>
          <w:rFonts w:ascii="Calibri" w:hAnsi="Calibri" w:eastAsia="Calibri" w:cs="Calibri"/>
          <w:color w:val="#000000"/>
          <w:sz w:val="22"/>
          <w:szCs w:val="22"/>
        </w:rPr>
        <w:t xml:space="preserve">• “David Aversten advises both private equity funds and corporate clients on acquisitions and divestments. Clients appreciate his responsiveness and availability, describing him as “always on call and willing to help out.” He represented Veolia Nordic in its acquisition of Hans Andersson Recycling Group.”</w:t>
      </w:r>
      <w:br/>
      <w:r>
        <w:rPr>
          <w:rFonts w:ascii="Calibri" w:hAnsi="Calibri" w:eastAsia="Calibri" w:cs="Calibri"/>
          <w:color w:val="#000000"/>
          <w:sz w:val="22"/>
          <w:szCs w:val="22"/>
        </w:rPr>
        <w:t xml:space="preserve">• Recommended, Private Equity, band 3, Chambers Europe 2019:</w:t>
      </w:r>
      <w:br/>
      <w:r>
        <w:rPr>
          <w:rFonts w:ascii="Calibri" w:hAnsi="Calibri" w:eastAsia="Calibri" w:cs="Calibri"/>
          <w:color w:val="#000000"/>
          <w:sz w:val="22"/>
          <w:szCs w:val="22"/>
        </w:rPr>
        <w:t xml:space="preserve">• “David Aversten advises on cross-border and domestic private equity deals, with particular experience in venture capital transactions. Aversten attracts attention for his “very commercial and very straightforward” approach.”</w:t>
      </w:r>
      <w:br/>
      <w:r>
        <w:rPr>
          <w:rFonts w:ascii="Calibri" w:hAnsi="Calibri" w:eastAsia="Calibri" w:cs="Calibri"/>
          <w:color w:val="#000000"/>
          <w:sz w:val="22"/>
          <w:szCs w:val="22"/>
        </w:rPr>
        <w:t xml:space="preserve">• Recommended, Corporate/M&amp;A, band 2, Chambers Global, 2019:</w:t>
      </w:r>
      <w:br/>
      <w:r>
        <w:rPr>
          <w:rFonts w:ascii="Calibri" w:hAnsi="Calibri" w:eastAsia="Calibri" w:cs="Calibri"/>
          <w:color w:val="#000000"/>
          <w:sz w:val="22"/>
          <w:szCs w:val="22"/>
        </w:rPr>
        <w:t xml:space="preserve">• “David Aversten advises both private equity funds and corporate clients on acquisitions and divestments. Clients appreciate his responsiveness and availability, describing him as “always on call and willing to help out.” He represented Veolia Nordic in its acquisition of Hans Andersson Recycling Group.”</w:t>
      </w:r>
      <w:br/>
      <w:r>
        <w:rPr>
          <w:rFonts w:ascii="Calibri" w:hAnsi="Calibri" w:eastAsia="Calibri" w:cs="Calibri"/>
          <w:color w:val="#000000"/>
          <w:sz w:val="22"/>
          <w:szCs w:val="22"/>
        </w:rPr>
        <w:t xml:space="preserve">• Recommended, M&amp;A and Governance, Who’s Who Legal, 2019</w:t>
      </w:r>
      <w:br/>
      <w:r>
        <w:rPr>
          <w:rFonts w:ascii="Calibri" w:hAnsi="Calibri" w:eastAsia="Calibri" w:cs="Calibri"/>
          <w:color w:val="#000000"/>
          <w:sz w:val="22"/>
          <w:szCs w:val="22"/>
        </w:rPr>
        <w:t xml:space="preserve">• Recommended, Commercial, corporate and M&amp;A, Legal 500, 2018</w:t>
      </w:r>
      <w:br/>
      <w:r>
        <w:rPr>
          <w:rFonts w:ascii="Calibri" w:hAnsi="Calibri" w:eastAsia="Calibri" w:cs="Calibri"/>
          <w:color w:val="#000000"/>
          <w:sz w:val="22"/>
          <w:szCs w:val="22"/>
        </w:rPr>
        <w:t xml:space="preserve">• Highly regarded, M&amp;A, IFLR 1000, 2018</w:t>
      </w:r>
      <w:br/>
      <w:r>
        <w:rPr>
          <w:rFonts w:ascii="Calibri" w:hAnsi="Calibri" w:eastAsia="Calibri" w:cs="Calibri"/>
          <w:color w:val="#000000"/>
          <w:sz w:val="22"/>
          <w:szCs w:val="22"/>
        </w:rPr>
        <w:t xml:space="preserve">• Highly regarded, Private equity, IFLR 1000, 2018</w:t>
      </w:r>
      <w:br/>
      <w:r>
        <w:rPr>
          <w:rFonts w:ascii="Calibri" w:hAnsi="Calibri" w:eastAsia="Calibri" w:cs="Calibri"/>
          <w:color w:val="#000000"/>
          <w:sz w:val="22"/>
          <w:szCs w:val="22"/>
        </w:rPr>
        <w:t xml:space="preserve">• Recommended, Corporate/M&amp;A, band 2, Chambers Europe 2018</w:t>
      </w:r>
      <w:br/>
      <w:r>
        <w:rPr>
          <w:rFonts w:ascii="Calibri" w:hAnsi="Calibri" w:eastAsia="Calibri" w:cs="Calibri"/>
          <w:color w:val="#000000"/>
          <w:sz w:val="22"/>
          <w:szCs w:val="22"/>
        </w:rPr>
        <w:t xml:space="preserve">• Recommended, Private Equity, band 3, Chambers Europe 2018</w:t>
      </w:r>
      <w:br/>
      <w:r>
        <w:rPr>
          <w:rFonts w:ascii="Calibri" w:hAnsi="Calibri" w:eastAsia="Calibri" w:cs="Calibri"/>
          <w:color w:val="#000000"/>
          <w:sz w:val="22"/>
          <w:szCs w:val="22"/>
        </w:rPr>
        <w:t xml:space="preserve">• Recommended, Corporate/M&amp;A, band 2, Chambers Global 2018</w:t>
      </w:r>
      <w:br/>
      <w:r>
        <w:rPr>
          <w:rFonts w:ascii="Calibri" w:hAnsi="Calibri" w:eastAsia="Calibri" w:cs="Calibri"/>
          <w:color w:val="#000000"/>
          <w:sz w:val="22"/>
          <w:szCs w:val="22"/>
        </w:rPr>
        <w:t xml:space="preserve">• Recommended, Commercial, corporate and M&amp;A, tier 2, Legal 500, 2017</w:t>
      </w:r>
      <w:br/>
      <w:r>
        <w:rPr>
          <w:rFonts w:ascii="Calibri" w:hAnsi="Calibri" w:eastAsia="Calibri" w:cs="Calibri"/>
          <w:color w:val="#000000"/>
          <w:sz w:val="22"/>
          <w:szCs w:val="22"/>
        </w:rPr>
        <w:t xml:space="preserve">• Recommended, Corporate/M&amp;A, band 2, Chambers Global 2017</w:t>
      </w:r>
      <w:br/>
      <w:r>
        <w:rPr>
          <w:rFonts w:ascii="Calibri" w:hAnsi="Calibri" w:eastAsia="Calibri" w:cs="Calibri"/>
          <w:color w:val="#000000"/>
          <w:sz w:val="22"/>
          <w:szCs w:val="22"/>
        </w:rPr>
        <w:t xml:space="preserve">• Leading Lawyer, M&amp;A, IFLR 1000, 2017</w:t>
      </w:r>
      <w:br/>
      <w:r>
        <w:rPr>
          <w:rFonts w:ascii="Calibri" w:hAnsi="Calibri" w:eastAsia="Calibri" w:cs="Calibri"/>
          <w:color w:val="#000000"/>
          <w:sz w:val="22"/>
          <w:szCs w:val="22"/>
        </w:rPr>
        <w:t xml:space="preserve">• Leading Lawyer, Private equity, IFLR 1000, 2017</w:t>
      </w:r>
      <w:br/>
      <w:r>
        <w:rPr>
          <w:rFonts w:ascii="Calibri" w:hAnsi="Calibri" w:eastAsia="Calibri" w:cs="Calibri"/>
          <w:color w:val="#000000"/>
          <w:sz w:val="22"/>
          <w:szCs w:val="22"/>
        </w:rPr>
        <w:t xml:space="preserve">• Recommended, Private Equity, band 3, Chambers Europe 2017</w:t>
      </w:r>
      <w:br/>
      <w:r>
        <w:rPr>
          <w:rFonts w:ascii="Calibri" w:hAnsi="Calibri" w:eastAsia="Calibri" w:cs="Calibri"/>
          <w:color w:val="#000000"/>
          <w:sz w:val="22"/>
          <w:szCs w:val="22"/>
        </w:rPr>
        <w:t xml:space="preserve">• Recommended, Corporate/M&amp;A, band 2, Chambers Europe, 2016</w:t>
      </w:r>
      <w:br/>
      <w:r>
        <w:rPr>
          <w:rFonts w:ascii="Calibri" w:hAnsi="Calibri" w:eastAsia="Calibri" w:cs="Calibri"/>
          <w:color w:val="#000000"/>
          <w:sz w:val="22"/>
          <w:szCs w:val="22"/>
        </w:rPr>
        <w:t xml:space="preserve">• Recommended, Energy, tier 3, Legal 500, 2014</w:t>
      </w:r>
      <w:br/>
      <w:r>
        <w:rPr>
          <w:rFonts w:ascii="Calibri" w:hAnsi="Calibri" w:eastAsia="Calibri" w:cs="Calibri"/>
          <w:color w:val="#000000"/>
          <w:sz w:val="22"/>
          <w:szCs w:val="22"/>
        </w:rPr>
        <w:t xml:space="preserve">• Highly recommended, Corporate and M&amp;A, Legal Experts EMEA, 2013</w:t>
      </w:r>
      <w:br/>
      <w:r>
        <w:rPr>
          <w:rFonts w:ascii="Calibri" w:hAnsi="Calibri" w:eastAsia="Calibri" w:cs="Calibri"/>
          <w:color w:val="#000000"/>
          <w:sz w:val="22"/>
          <w:szCs w:val="22"/>
        </w:rPr>
        <w:t xml:space="preserve">• Recommended, Corporate and commercial, tier 2, Legal 500, 2013</w:t>
      </w:r>
      <w:br/>
      <w:r>
        <w:rPr>
          <w:rFonts w:ascii="Calibri" w:hAnsi="Calibri" w:eastAsia="Calibri" w:cs="Calibri"/>
          <w:color w:val="#000000"/>
          <w:sz w:val="22"/>
          <w:szCs w:val="22"/>
        </w:rPr>
        <w:t xml:space="preserve">• Recommended, Private equity: buyouts, PLC Which Lawyer, 2012</w:t>
      </w:r>
      <w:br/>
      <w:r>
        <w:rPr>
          <w:rFonts w:ascii="Calibri" w:hAnsi="Calibri" w:eastAsia="Calibri" w:cs="Calibri"/>
          <w:color w:val="#000000"/>
          <w:sz w:val="22"/>
          <w:szCs w:val="22"/>
        </w:rPr>
        <w:t xml:space="preserve">• Recommended, Real estate, Legal 500, 2012</w:t>
      </w:r>
      <w:br/>
      <w:r>
        <w:rPr>
          <w:rFonts w:ascii="Calibri" w:hAnsi="Calibri" w:eastAsia="Calibri" w:cs="Calibri"/>
          <w:color w:val="#000000"/>
          <w:sz w:val="22"/>
          <w:szCs w:val="22"/>
        </w:rPr>
        <w:t xml:space="preserve">• Recommended, Corporate/M&amp;A, PLC Which Lawyer, 2012</w:t>
      </w:r>
      <w:br/>
      <w:r>
        <w:rPr>
          <w:rFonts w:ascii="Calibri" w:hAnsi="Calibri" w:eastAsia="Calibri" w:cs="Calibri"/>
          <w:color w:val="#000000"/>
          <w:sz w:val="22"/>
          <w:szCs w:val="22"/>
        </w:rPr>
        <w:t xml:space="preserve">• Recommended, Private equity: buyouts, PLC Which Lawyer, 2012</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Publikationer</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 Svensk Private Equity — en översikt, artikel om “Transactions”, publicerad i Getting the Deal Through, 2014</w:t>
      </w:r>
      <w:br/>
      <w:r>
        <w:rPr>
          <w:rFonts w:ascii="Calibri" w:hAnsi="Calibri" w:eastAsia="Calibri" w:cs="Calibri"/>
          <w:color w:val="#000000"/>
          <w:sz w:val="22"/>
          <w:szCs w:val="22"/>
        </w:rPr>
        <w:t xml:space="preserve">• Svensk Private Equity — en översikt, artikel om “Transactions”, publicerad i Getting the Deal Through, 2013</w:t>
      </w:r>
      <w:br/>
      <w:r>
        <w:rPr>
          <w:rFonts w:ascii="Calibri" w:hAnsi="Calibri" w:eastAsia="Calibri" w:cs="Calibri"/>
          <w:color w:val="#000000"/>
          <w:sz w:val="22"/>
          <w:szCs w:val="22"/>
        </w:rPr>
        <w:t xml:space="preserve">• Svensk Private Equity — en översikt, artikel om “Transactions”, publicerad i Getting the Deal Through, 2012</w:t>
      </w:r>
      <w:br/>
      <w:r>
        <w:rPr>
          <w:rFonts w:ascii="Calibri" w:hAnsi="Calibri" w:eastAsia="Calibri" w:cs="Calibri"/>
          <w:color w:val="#000000"/>
          <w:sz w:val="22"/>
          <w:szCs w:val="22"/>
        </w:rPr>
        <w:t xml:space="preserve">• Private Equity, Transactions, Sweden. Reproduced with permission from Law Business Research. Artikeln publicerades ursprungligen i Getting the Deal Through – Private Equity 2011, (published in March 2011; contributing editor: Casey Cogut of Simpson Thacher &amp; Bartlett). För ytterligare information, se www.GettingTheDealThrough.com</w:t>
      </w:r>
      <w:br/>
      <w:r>
        <w:rPr>
          <w:rFonts w:ascii="Calibri" w:hAnsi="Calibri" w:eastAsia="Calibri" w:cs="Calibri"/>
          <w:color w:val="#000000"/>
          <w:sz w:val="22"/>
          <w:szCs w:val="22"/>
        </w:rPr>
        <w:t xml:space="preserve">• Controlling purchase prices: the locked box mechanism, ILO Newsletter, Corporate Finance/M&amp;A – Sweden, November 2010</w:t>
      </w:r>
      <w:br/>
      <w:r>
        <w:rPr>
          <w:rFonts w:ascii="Calibri" w:hAnsi="Calibri" w:eastAsia="Calibri" w:cs="Calibri"/>
          <w:color w:val="#000000"/>
          <w:sz w:val="22"/>
          <w:szCs w:val="22"/>
        </w:rPr>
        <w:t xml:space="preserve">• Earn-out Models for Mergers and Acquisitions, ILO Newsletter, January 2010</w:t>
      </w:r>
      <w:br/>
      <w:r>
        <w:rPr>
          <w:rFonts w:ascii="Calibri" w:hAnsi="Calibri" w:eastAsia="Calibri" w:cs="Calibri"/>
          <w:color w:val="#000000"/>
          <w:sz w:val="22"/>
          <w:szCs w:val="22"/>
        </w:rPr>
        <w:t xml:space="preserve">• Svensk Private Equity — en översikt, artikel om “Transactions”, publicerad i Getting the Deal Through, mars 2010</w:t>
      </w:r>
      <w:br/>
      <w:r>
        <w:rPr>
          <w:rFonts w:ascii="Calibri" w:hAnsi="Calibri" w:eastAsia="Calibri" w:cs="Calibri"/>
          <w:color w:val="#000000"/>
          <w:sz w:val="22"/>
          <w:szCs w:val="22"/>
        </w:rPr>
        <w:t xml:space="preserve">• Svensk Private Equity — en översikt, artikel om “Transactions”, publicerad i Getting the Deal Through, februari 2009 Earn-out Models for Mergers and Acquisitions</w:t>
      </w:r>
      <w:br/>
    </w:p>
    <w:p w14:paraId="4921188B" w14:textId="3BA853CC" w:rsidR="005E3AC4" w:rsidRPr="00292245" w:rsidRDefault="005E3AC4" w:rsidP="00681F89">
      <w:pPr>
        <w:rPr>
          <w:rFonts w:ascii="Calibri" w:hAnsi="Calibri" w:cs="Calibri"/>
          <w:b/>
          <w:bCs/>
          <w:color w:val="000000" w:themeColor="text1"/>
          <w:sz w:val="22"/>
          <w:szCs w:val="22"/>
        </w:rPr>
      </w:pPr>
      <w:r w:rsidRPr="00292245">
        <w:rPr>
          <w:rFonts w:ascii="Calibri" w:hAnsi="Calibri" w:cs="Calibri"/>
          <w:b/>
          <w:bCs/>
          <w:color w:val="000000" w:themeColor="text1"/>
          <w:sz w:val="22"/>
          <w:szCs w:val="22"/>
        </w:rPr>
        <w:t>Medlemskap</w:t>
      </w:r>
    </w:p>
    <w:p w14:paraId="367B1CD5" w14:textId="56839767" w:rsidR="005E3AC4" w:rsidRPr="00292245" w:rsidRDefault="005E3AC4" w:rsidP="00681F89">
      <w:pPr>
        <w:rPr>
          <w:rFonts w:ascii="Calibri" w:hAnsi="Calibri" w:cs="Calibri"/>
          <w:color w:val="000000" w:themeColor="text1"/>
          <w:sz w:val="22"/>
          <w:szCs w:val="22"/>
        </w:rPr>
      </w:pPr>
      <w:r>
        <w:rPr>
          <w:rFonts w:ascii="Calibri" w:hAnsi="Calibri" w:eastAsia="Calibri" w:cs="Calibri"/>
          <w:color w:val="#000000"/>
          <w:sz w:val="22"/>
          <w:szCs w:val="22"/>
        </w:rPr>
        <w:t xml:space="preserve">Sveriges advokatsamfund</w:t>
      </w:r>
      <w:br/>
      <w:r>
        <w:rPr>
          <w:rFonts w:ascii="Calibri" w:hAnsi="Calibri" w:eastAsia="Calibri" w:cs="Calibri"/>
          <w:color w:val="#000000"/>
          <w:sz w:val="22"/>
          <w:szCs w:val="22"/>
        </w:rPr>
        <w:t xml:space="preserve">Ledamot av svenska ICC:s (International Chamber of Commerce) referensgrupp handelsrätt</w:t>
      </w:r>
      <w:br/>
      <w:r>
        <w:rPr>
          <w:rFonts w:ascii="Calibri" w:hAnsi="Calibri" w:eastAsia="Calibri" w:cs="Calibri"/>
          <w:color w:val="#000000"/>
          <w:sz w:val="22"/>
          <w:szCs w:val="22"/>
        </w:rPr>
        <w:t xml:space="preserve">International Bar Association (IBA)</w:t>
      </w:r>
      <w:br/>
      <w:r>
        <w:rPr>
          <w:rFonts w:ascii="Calibri" w:hAnsi="Calibri" w:eastAsia="Calibri" w:cs="Calibri"/>
          <w:color w:val="#000000"/>
          <w:sz w:val="22"/>
          <w:szCs w:val="22"/>
        </w:rPr>
        <w:t xml:space="preserve">Dataföreningen</w:t>
      </w:r>
      <w:br/>
      <w:r>
        <w:rPr>
          <w:rFonts w:ascii="Calibri" w:hAnsi="Calibri" w:eastAsia="Calibri" w:cs="Calibri"/>
          <w:color w:val="#000000"/>
          <w:sz w:val="22"/>
          <w:szCs w:val="22"/>
        </w:rPr>
        <w:t xml:space="preserve">ADBJ – Svenska föreningen för IT och Juridik</w:t>
      </w:r>
      <w:br/>
    </w:p>
    <w:sectPr w:rsidR="005E3AC4" w:rsidRPr="00292245" w:rsidSect="00681F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D6E6" w14:textId="77777777" w:rsidR="003C0408" w:rsidRDefault="003C0408" w:rsidP="00681F89">
      <w:r>
        <w:separator/>
      </w:r>
    </w:p>
  </w:endnote>
  <w:endnote w:type="continuationSeparator" w:id="0">
    <w:p w14:paraId="199387A0" w14:textId="77777777" w:rsidR="003C0408" w:rsidRDefault="003C0408" w:rsidP="0068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e Display Bold">
    <w:altName w:val="Cambria"/>
    <w:panose1 w:val="020B0604020202020204"/>
    <w:charset w:val="4D"/>
    <w:family w:val="roman"/>
    <w:notTrueType/>
    <w:pitch w:val="variable"/>
    <w:sig w:usb0="A000002F" w:usb1="40000072"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7F9B" w14:textId="77777777" w:rsidR="003C0408" w:rsidRDefault="003C0408" w:rsidP="00681F89">
      <w:r>
        <w:separator/>
      </w:r>
    </w:p>
  </w:footnote>
  <w:footnote w:type="continuationSeparator" w:id="0">
    <w:p w14:paraId="33111B0B" w14:textId="77777777" w:rsidR="003C0408" w:rsidRDefault="003C0408" w:rsidP="0068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60AC" w14:textId="5C96538D" w:rsidR="00681F89" w:rsidRDefault="00681F89" w:rsidP="00681F89">
    <w:pPr>
      <w:pStyle w:val="Header"/>
      <w:jc w:val="right"/>
    </w:pPr>
    <w:r>
      <w:rPr>
        <w:noProof/>
      </w:rPr>
      <w:drawing>
        <wp:inline distT="0" distB="0" distL="0" distR="0" wp14:anchorId="0E103B9E" wp14:editId="1FCBC563">
          <wp:extent cx="1199408" cy="542488"/>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62528" cy="571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82"/>
    <w:rsid w:val="000510C9"/>
    <w:rsid w:val="00162EEB"/>
    <w:rsid w:val="002641BE"/>
    <w:rsid w:val="00292245"/>
    <w:rsid w:val="003C0408"/>
    <w:rsid w:val="0044003B"/>
    <w:rsid w:val="00452D8F"/>
    <w:rsid w:val="00467269"/>
    <w:rsid w:val="004B7117"/>
    <w:rsid w:val="004F5084"/>
    <w:rsid w:val="005564D2"/>
    <w:rsid w:val="005B734A"/>
    <w:rsid w:val="005E3AC4"/>
    <w:rsid w:val="00615CAB"/>
    <w:rsid w:val="00642EE4"/>
    <w:rsid w:val="00644BA9"/>
    <w:rsid w:val="00681F89"/>
    <w:rsid w:val="00846EAE"/>
    <w:rsid w:val="00871A7C"/>
    <w:rsid w:val="008B7ADC"/>
    <w:rsid w:val="008C4AF2"/>
    <w:rsid w:val="009D231A"/>
    <w:rsid w:val="00AB7913"/>
    <w:rsid w:val="00AF650D"/>
    <w:rsid w:val="00B60538"/>
    <w:rsid w:val="00D36D9B"/>
    <w:rsid w:val="00E35EED"/>
    <w:rsid w:val="00E407EB"/>
    <w:rsid w:val="00E85050"/>
    <w:rsid w:val="00EA05F0"/>
    <w:rsid w:val="00EB2029"/>
    <w:rsid w:val="00F07190"/>
    <w:rsid w:val="00FA6982"/>
  </w:rsids>
  <m:mathPr>
    <m:mathFont m:val="Cambria Math"/>
    <m:brkBin m:val="before"/>
    <m:brkBinSub m:val="--"/>
    <m:smallFrac m:val="0"/>
    <m:dispDef/>
    <m:lMargin m:val="0"/>
    <m:rMargin m:val="0"/>
    <m:defJc m:val="centerGroup"/>
    <m:wrapIndent m:val="1440"/>
    <m:intLim m:val="subSup"/>
    <m:naryLim m:val="undOvr"/>
  </m:mathPr>
  <w:themeFontLang w:val="en-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ED1E"/>
  <w15:chartTrackingRefBased/>
  <w15:docId w15:val="{0B221653-FFEF-3D4A-85BE-06560C71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538"/>
    <w:rPr>
      <w:color w:val="0563C1" w:themeColor="hyperlink"/>
      <w:u w:val="single"/>
    </w:rPr>
  </w:style>
  <w:style w:type="character" w:styleId="UnresolvedMention">
    <w:name w:val="Unresolved Mention"/>
    <w:basedOn w:val="DefaultParagraphFont"/>
    <w:uiPriority w:val="99"/>
    <w:semiHidden/>
    <w:unhideWhenUsed/>
    <w:rsid w:val="00B60538"/>
    <w:rPr>
      <w:color w:val="605E5C"/>
      <w:shd w:val="clear" w:color="auto" w:fill="E1DFDD"/>
    </w:rPr>
  </w:style>
  <w:style w:type="paragraph" w:styleId="Header">
    <w:name w:val="header"/>
    <w:basedOn w:val="Normal"/>
    <w:link w:val="HeaderChar"/>
    <w:uiPriority w:val="99"/>
    <w:unhideWhenUsed/>
    <w:rsid w:val="00681F89"/>
    <w:pPr>
      <w:tabs>
        <w:tab w:val="center" w:pos="4536"/>
        <w:tab w:val="right" w:pos="9072"/>
      </w:tabs>
    </w:pPr>
  </w:style>
  <w:style w:type="character" w:customStyle="1" w:styleId="HeaderChar">
    <w:name w:val="Header Char"/>
    <w:basedOn w:val="DefaultParagraphFont"/>
    <w:link w:val="Header"/>
    <w:uiPriority w:val="99"/>
    <w:rsid w:val="00681F89"/>
  </w:style>
  <w:style w:type="paragraph" w:styleId="Footer">
    <w:name w:val="footer"/>
    <w:basedOn w:val="Normal"/>
    <w:link w:val="FooterChar"/>
    <w:uiPriority w:val="99"/>
    <w:unhideWhenUsed/>
    <w:rsid w:val="00681F89"/>
    <w:pPr>
      <w:tabs>
        <w:tab w:val="center" w:pos="4536"/>
        <w:tab w:val="right" w:pos="9072"/>
      </w:tabs>
    </w:pPr>
  </w:style>
  <w:style w:type="character" w:customStyle="1" w:styleId="FooterChar">
    <w:name w:val="Footer Char"/>
    <w:basedOn w:val="DefaultParagraphFont"/>
    <w:link w:val="Footer"/>
    <w:uiPriority w:val="99"/>
    <w:rsid w:val="00681F89"/>
  </w:style>
  <w:style w:type="paragraph" w:styleId="BalloonText">
    <w:name w:val="Balloon Text"/>
    <w:basedOn w:val="Normal"/>
    <w:link w:val="BalloonTextChar"/>
    <w:uiPriority w:val="99"/>
    <w:semiHidden/>
    <w:unhideWhenUsed/>
    <w:rsid w:val="00681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89"/>
    <w:rPr>
      <w:rFonts w:ascii="Segoe UI" w:hAnsi="Segoe UI" w:cs="Segoe UI"/>
      <w:sz w:val="18"/>
      <w:szCs w:val="18"/>
    </w:rPr>
  </w:style>
  <w:style w:type="paragraph" w:styleId="ListParagraph">
    <w:name w:val="List Paragraph"/>
    <w:basedOn w:val="Normal"/>
    <w:uiPriority w:val="34"/>
    <w:qFormat/>
    <w:rsid w:val="0029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3866">
      <w:bodyDiv w:val="1"/>
      <w:marLeft w:val="0"/>
      <w:marRight w:val="0"/>
      <w:marTop w:val="0"/>
      <w:marBottom w:val="0"/>
      <w:divBdr>
        <w:top w:val="none" w:sz="0" w:space="0" w:color="auto"/>
        <w:left w:val="none" w:sz="0" w:space="0" w:color="auto"/>
        <w:bottom w:val="none" w:sz="0" w:space="0" w:color="auto"/>
        <w:right w:val="none" w:sz="0" w:space="0" w:color="auto"/>
      </w:divBdr>
    </w:div>
    <w:div w:id="1257591964">
      <w:bodyDiv w:val="1"/>
      <w:marLeft w:val="0"/>
      <w:marRight w:val="0"/>
      <w:marTop w:val="0"/>
      <w:marBottom w:val="0"/>
      <w:divBdr>
        <w:top w:val="none" w:sz="0" w:space="0" w:color="auto"/>
        <w:left w:val="none" w:sz="0" w:space="0" w:color="auto"/>
        <w:bottom w:val="none" w:sz="0" w:space="0" w:color="auto"/>
        <w:right w:val="none" w:sz="0" w:space="0" w:color="auto"/>
      </w:divBdr>
    </w:div>
    <w:div w:id="18436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_rId10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0529-51D3-48AB-B50D-3E771AF9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Robertsson</cp:lastModifiedBy>
  <cp:revision>3</cp:revision>
  <dcterms:created xsi:type="dcterms:W3CDTF">2022-05-09T14:32:00Z</dcterms:created>
  <dcterms:modified xsi:type="dcterms:W3CDTF">2023-05-11T10:33:00Z</dcterms:modified>
</cp:coreProperties>
</file>